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Wyższy odpis na ZFŚS w 2020. O 321 zł więcej na pracownika, niż w roku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dniem 13 lutego br. weszła w życie Ustawa o szczególnych rozwiązaniach służących realizacji ustawy budżetowej na rok 2020. Ustawa ta zmienia obowiązującą dotychczas ustawę z dnia 4 marca 1994 r. o Zakładowym Funduszu Świadczeń Socjalnych. W dniu 19 lutego 2020 została podpisana przez Prezydenta Andrzeja Dudę.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Znowelizowana ustawa określa nowe – wyższe składki odpisu na pracownika, zatrudnionego w warunkach normalnych tj. do kwoty 1 550,25zł, czyli o</w:t>
      </w:r>
      <w:r>
        <w:rPr>
          <w:rFonts w:ascii="calibri" w:hAnsi="calibri" w:eastAsia="calibri" w:cs="calibri"/>
          <w:sz w:val="24"/>
          <w:szCs w:val="24"/>
          <w:b/>
        </w:rPr>
        <w:t xml:space="preserve"> 321zł więcej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w stosunku do odpisu ze stycznia 2019 r.</w:t>
      </w:r>
      <w:r>
        <w:rPr>
          <w:rFonts w:ascii="calibri" w:hAnsi="calibri" w:eastAsia="calibri" w:cs="calibri"/>
          <w:sz w:val="24"/>
          <w:szCs w:val="24"/>
        </w:rPr>
        <w:t xml:space="preserve"> Zmiany wysokości odpisu objęły również pracowników zatrudnionych w warunkach szczególnie uciążliwych lub o szczególnym charakterze pracy do kwoty 2 067,01zł. Tym samym wysokość odpisów dla tej grupy pracowników wzrosła o 428,01 zł w porównaniu do roku 2019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przeznaczyć wyższy socjal?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Pracodawcy w oparciu o nowe przepisy ZFŚS i z zachowaniem zasadniczego kryterium socjalnego mogą przeznaczyć dodatkowe środki na zwiększenie wartości podarunków Wielkanocnych. Wybierając świadczenia pieniężne lub rzeczowe (art.21 ust. 1 pkt 67 Ustawy o PIT) mogą skorzystać ze zwolnienia w PIT nawet do 1000 zł rocznie /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„…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globalny lider rozwiązań motywacyjnych dla środowiska pracy doradzamy naszym klientom jakie rozwiązania zwiększą poziom wellbeingu w ich firmie. Podarunki świąteczne są benefitem, na który liczą wszyscy pracownicy.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więc zadbać o jego atrakcyjność, nie tylko pod względem formy podarunku, ale w szczególności jego wartości - powiedziała Sylwia Bilska, General Manager w Edenred Polska…”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Edenred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Edenred, światowy lider rozwiązań płatniczych, łączy 830.000 klientów korporacyjnych, 50 milionów użytkowników</w:t>
      </w:r>
    </w:p>
    <w:p>
      <w:r>
        <w:rPr>
          <w:rFonts w:ascii="calibri" w:hAnsi="calibri" w:eastAsia="calibri" w:cs="calibri"/>
          <w:sz w:val="24"/>
          <w:szCs w:val="24"/>
        </w:rPr>
        <w:t xml:space="preserve"> i 2 miliony partnerów afiliacyjnych w 46 krajach. Dzięki globalnej platformie technologicznej Grupa Edenred zarządzała w 2018 roku 2,5 miliardami transakcji, głównie za pośrednictwem aplikacji mobilnych, platform internetowych i kart przedpłaconych, generując ponad 30 miliardów Euro obrotu.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10.000 pracowników Edenred przyczynia się do: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podnoszenia jakości życia osób korzystających z rozwiązań Edenred,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zwiększania efektywności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zwiększania przychodów partnerów afiliacyjnych.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Edenred oferuje rozwiązania w ramach trzech linii biznesowych: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świadczenia pracownicze,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fleet &amp; mobility: paliwo, opłaty drogowe i podróże służbowe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rozwiązania uzupełniające wraz z płatnościami korporacyjnymi, nagradzanie oraz programy motywacyjne, publiczne programy społeczne.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Edenred jest notowana na paryskiej giełdzie i zawiera następujące indeksy: CAC Next 20, FTSE4Good, DJSI Europe i MSCI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Edenred w Polsce działa od ponad 20 lat. Misją Spółki jest zapewnienie kompleksowych i efektywnych rozwiązań dopasowanych do indywidualnych potrzeb klientów, stawiając sobie ten sam cel: satysfakcja i przyjemne codzienne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Edenred Polska dostarcza bezkonkurencyjne produkty i usługi oraz szybki i niezawodny serwis w obszarach: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motywacji i aangażowania pracowników,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budowania lojalności w biznesie i zwiększania sprzedaży na rynku B2B2C.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 na: </w:t>
      </w:r>
      <w:r>
        <w:rPr>
          <w:rFonts w:ascii="calibri" w:hAnsi="calibri" w:eastAsia="calibri" w:cs="calibri"/>
          <w:sz w:val="24"/>
          <w:szCs w:val="24"/>
          <w:b/>
        </w:rPr>
        <w:t xml:space="preserve">www.edenred.pl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Loga oraz inne znaki towarowe wymienione i zawarte w niniejszym komunikacie prasowym stanowią zastrzeżone znaki towarowe Edenred S.A, jej jednostek zależnych lub podmiotów trzecich. Nie mogą być wykorzystywane w celach komercyjnych bez uprzedniej pisemnej zgody ich właścicieli.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2026-09-30T00:46:11+02:00</dcterms:created>
  <dcterms:modified xsi:type="dcterms:W3CDTF">2026-09-30T00:46:11+02:00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